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C1D5B" w14:textId="77777777" w:rsidR="009B5EF2" w:rsidRDefault="009B5EF2" w:rsidP="009B5EF2">
      <w:pPr>
        <w:pStyle w:val="Nagwek"/>
        <w:spacing w:line="276" w:lineRule="auto"/>
        <w:rPr>
          <w:rFonts w:cstheme="minorHAnsi"/>
          <w:b/>
        </w:rPr>
      </w:pPr>
    </w:p>
    <w:p w14:paraId="6ED67592" w14:textId="77777777" w:rsidR="009B5EF2" w:rsidRPr="00401E14" w:rsidRDefault="009B5EF2" w:rsidP="009B5EF2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346956EE" w14:textId="77777777" w:rsidR="009B5EF2" w:rsidRPr="00401E14" w:rsidRDefault="009B5EF2" w:rsidP="009B5EF2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1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373F1243" w14:textId="77777777" w:rsidR="009B5EF2" w:rsidRDefault="009B5EF2" w:rsidP="009B5EF2">
      <w:pPr>
        <w:pStyle w:val="Nagwek"/>
        <w:spacing w:line="276" w:lineRule="auto"/>
        <w:rPr>
          <w:rFonts w:cstheme="minorHAnsi"/>
          <w:b/>
        </w:rPr>
      </w:pPr>
    </w:p>
    <w:p w14:paraId="4ABDCFB7" w14:textId="77777777" w:rsidR="009B5EF2" w:rsidRDefault="009B5EF2" w:rsidP="009B5EF2">
      <w:pPr>
        <w:pStyle w:val="Nagwek"/>
        <w:spacing w:line="276" w:lineRule="auto"/>
        <w:rPr>
          <w:rFonts w:cstheme="minorHAnsi"/>
          <w:b/>
        </w:rPr>
      </w:pPr>
    </w:p>
    <w:p w14:paraId="2CC10230" w14:textId="61AFDED1" w:rsidR="009B5EF2" w:rsidRPr="009B5EF2" w:rsidRDefault="009B5EF2" w:rsidP="009B5EF2">
      <w:pPr>
        <w:pStyle w:val="Nagwek"/>
        <w:spacing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3 – Specyfikacja Techniczna Z</w:t>
      </w:r>
      <w:r w:rsidRPr="009B5EF2">
        <w:rPr>
          <w:rFonts w:ascii="Calibri" w:hAnsi="Calibri" w:cs="Calibri"/>
          <w:b/>
          <w:sz w:val="24"/>
          <w:szCs w:val="24"/>
        </w:rPr>
        <w:t xml:space="preserve">amówienia </w:t>
      </w:r>
      <w:r>
        <w:rPr>
          <w:rFonts w:ascii="Calibri" w:hAnsi="Calibri" w:cs="Calibri"/>
          <w:b/>
          <w:sz w:val="24"/>
          <w:szCs w:val="24"/>
        </w:rPr>
        <w:t>(STZ)</w:t>
      </w:r>
    </w:p>
    <w:p w14:paraId="037DB971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93FDAE7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9B5EF2">
        <w:rPr>
          <w:rFonts w:ascii="Calibri" w:hAnsi="Calibri" w:cs="Calibri"/>
          <w:b/>
          <w:sz w:val="24"/>
          <w:szCs w:val="24"/>
        </w:rPr>
        <w:t xml:space="preserve">Przedmiotem zamówienia jest rozbudowa posiadanego systemu kopii zapasowych </w:t>
      </w:r>
      <w:proofErr w:type="spellStart"/>
      <w:r w:rsidRPr="009B5EF2">
        <w:rPr>
          <w:rFonts w:ascii="Calibri" w:hAnsi="Calibri" w:cs="Calibri"/>
          <w:b/>
          <w:sz w:val="24"/>
          <w:szCs w:val="24"/>
          <w:lang w:eastAsia="pl-PL"/>
        </w:rPr>
        <w:t>Veeam</w:t>
      </w:r>
      <w:proofErr w:type="spellEnd"/>
      <w:r w:rsidRPr="009B5EF2">
        <w:rPr>
          <w:rFonts w:ascii="Calibri" w:hAnsi="Calibri" w:cs="Calibri"/>
          <w:b/>
          <w:sz w:val="24"/>
          <w:szCs w:val="24"/>
          <w:lang w:eastAsia="pl-PL"/>
        </w:rPr>
        <w:t xml:space="preserve"> Data Platform Foundation Enterprise Plu</w:t>
      </w:r>
      <w:r w:rsidRPr="009B5EF2">
        <w:rPr>
          <w:rFonts w:ascii="Calibri" w:hAnsi="Calibri" w:cs="Calibri"/>
          <w:sz w:val="24"/>
          <w:szCs w:val="24"/>
          <w:lang w:eastAsia="pl-PL"/>
        </w:rPr>
        <w:t>s</w:t>
      </w:r>
      <w:r w:rsidRPr="009B5EF2">
        <w:rPr>
          <w:rFonts w:ascii="Calibri" w:hAnsi="Calibri" w:cs="Calibri"/>
          <w:b/>
          <w:sz w:val="24"/>
          <w:szCs w:val="24"/>
        </w:rPr>
        <w:t xml:space="preserve"> obejmująca rozbudowę oraz przedłużenie posiadanej licencji wraz z zakupem dedykowanej macierzy. Szczegółowy opis przedmiotu zamówienia opisany został poniżej.</w:t>
      </w:r>
    </w:p>
    <w:p w14:paraId="466629B5" w14:textId="336C711C" w:rsidR="009B5EF2" w:rsidRPr="009B5EF2" w:rsidRDefault="009B5EF2" w:rsidP="009B5EF2">
      <w:pPr>
        <w:spacing w:line="276" w:lineRule="auto"/>
        <w:rPr>
          <w:rFonts w:ascii="Calibri" w:hAnsi="Calibri" w:cs="Calibri"/>
          <w:smallCaps/>
          <w:sz w:val="24"/>
          <w:szCs w:val="24"/>
        </w:rPr>
      </w:pPr>
      <w:r w:rsidRPr="009B5EF2">
        <w:rPr>
          <w:rFonts w:ascii="Calibri" w:hAnsi="Calibri" w:cs="Calibri"/>
          <w:smallCaps/>
          <w:sz w:val="24"/>
          <w:szCs w:val="24"/>
        </w:rPr>
        <w:t>Opis</w:t>
      </w:r>
    </w:p>
    <w:p w14:paraId="585AD899" w14:textId="77777777" w:rsidR="009B5EF2" w:rsidRPr="009B5EF2" w:rsidRDefault="009B5EF2" w:rsidP="009B5EF2">
      <w:pPr>
        <w:spacing w:line="276" w:lineRule="auto"/>
        <w:ind w:left="567" w:hanging="567"/>
        <w:rPr>
          <w:rFonts w:ascii="Calibri" w:hAnsi="Calibri" w:cs="Calibri"/>
          <w:smallCaps/>
          <w:sz w:val="24"/>
          <w:szCs w:val="24"/>
        </w:rPr>
      </w:pPr>
      <w:r w:rsidRPr="009B5EF2">
        <w:rPr>
          <w:rFonts w:ascii="Calibri" w:hAnsi="Calibri" w:cs="Calibri"/>
          <w:smallCaps/>
          <w:sz w:val="24"/>
          <w:szCs w:val="24"/>
        </w:rPr>
        <w:t xml:space="preserve">1. </w:t>
      </w:r>
      <w:r w:rsidRPr="009B5EF2">
        <w:rPr>
          <w:rFonts w:ascii="Calibri" w:hAnsi="Calibri" w:cs="Calibri"/>
          <w:smallCaps/>
          <w:sz w:val="24"/>
          <w:szCs w:val="24"/>
        </w:rPr>
        <w:tab/>
        <w:t xml:space="preserve">Przedłużenie wsparcia dla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Veeam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Data Platform Foundation Enterprise Plus na 36 miesięcy</w:t>
      </w:r>
    </w:p>
    <w:p w14:paraId="3034493D" w14:textId="77777777" w:rsidR="009B5EF2" w:rsidRPr="009B5EF2" w:rsidRDefault="009B5EF2" w:rsidP="009B5EF2">
      <w:pPr>
        <w:spacing w:line="276" w:lineRule="auto"/>
        <w:ind w:left="567" w:hanging="567"/>
        <w:rPr>
          <w:rFonts w:ascii="Calibri" w:hAnsi="Calibri" w:cs="Calibri"/>
          <w:smallCaps/>
          <w:sz w:val="24"/>
          <w:szCs w:val="24"/>
        </w:rPr>
      </w:pPr>
      <w:r w:rsidRPr="009B5EF2">
        <w:rPr>
          <w:rFonts w:ascii="Calibri" w:hAnsi="Calibri" w:cs="Calibri"/>
          <w:smallCaps/>
          <w:sz w:val="24"/>
          <w:szCs w:val="24"/>
        </w:rPr>
        <w:t xml:space="preserve">2. </w:t>
      </w:r>
      <w:r w:rsidRPr="009B5EF2">
        <w:rPr>
          <w:rFonts w:ascii="Calibri" w:hAnsi="Calibri" w:cs="Calibri"/>
          <w:smallCaps/>
          <w:sz w:val="24"/>
          <w:szCs w:val="24"/>
        </w:rPr>
        <w:tab/>
        <w:t xml:space="preserve">Rozszerzenie o dodatkowe 20 licencji agentowych -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Veeam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Data Platform Foundation Universal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Perpetual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License.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Includes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Enterprise Plus Edition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features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. 20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instance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pack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>. Wsparcie 36 m-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cy</w:t>
      </w:r>
      <w:proofErr w:type="spellEnd"/>
    </w:p>
    <w:p w14:paraId="60EA72F6" w14:textId="77777777" w:rsidR="009B5EF2" w:rsidRPr="009B5EF2" w:rsidRDefault="009B5EF2" w:rsidP="009B5EF2">
      <w:pPr>
        <w:spacing w:line="276" w:lineRule="auto"/>
        <w:ind w:left="567" w:hanging="567"/>
        <w:rPr>
          <w:rFonts w:ascii="Calibri" w:hAnsi="Calibri" w:cs="Calibri"/>
          <w:smallCaps/>
          <w:sz w:val="24"/>
          <w:szCs w:val="24"/>
        </w:rPr>
      </w:pPr>
      <w:r w:rsidRPr="009B5EF2">
        <w:rPr>
          <w:rFonts w:ascii="Calibri" w:hAnsi="Calibri" w:cs="Calibri"/>
          <w:smallCaps/>
          <w:sz w:val="24"/>
          <w:szCs w:val="24"/>
        </w:rPr>
        <w:t xml:space="preserve">3. </w:t>
      </w:r>
      <w:r w:rsidRPr="009B5EF2">
        <w:rPr>
          <w:rFonts w:ascii="Calibri" w:hAnsi="Calibri" w:cs="Calibri"/>
          <w:smallCaps/>
          <w:sz w:val="24"/>
          <w:szCs w:val="24"/>
        </w:rPr>
        <w:tab/>
        <w:t xml:space="preserve">Urządzenie do backupu oparte na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deduplikacji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danych - Pojemność surowa 172TB, Dwa porty FC 32Gb/s, Dwa porty LAN 10Gb/s, Gwarancja 3 lata NBD</w:t>
      </w:r>
    </w:p>
    <w:p w14:paraId="57D92D19" w14:textId="1D49445A" w:rsidR="009B5EF2" w:rsidRPr="009B5EF2" w:rsidRDefault="009B5EF2" w:rsidP="009B5EF2">
      <w:pPr>
        <w:spacing w:line="276" w:lineRule="auto"/>
        <w:ind w:left="567" w:hanging="567"/>
        <w:rPr>
          <w:rFonts w:ascii="Calibri" w:hAnsi="Calibri" w:cs="Calibri"/>
          <w:smallCaps/>
          <w:sz w:val="24"/>
          <w:szCs w:val="24"/>
        </w:rPr>
      </w:pPr>
      <w:r w:rsidRPr="009B5EF2">
        <w:rPr>
          <w:rFonts w:ascii="Calibri" w:hAnsi="Calibri" w:cs="Calibri"/>
          <w:smallCaps/>
          <w:sz w:val="24"/>
          <w:szCs w:val="24"/>
        </w:rPr>
        <w:t>4</w:t>
      </w:r>
      <w:r w:rsidRPr="009B5EF2">
        <w:rPr>
          <w:rFonts w:ascii="Calibri" w:hAnsi="Calibri" w:cs="Calibri"/>
          <w:smallCaps/>
          <w:sz w:val="24"/>
          <w:szCs w:val="24"/>
        </w:rPr>
        <w:tab/>
        <w:t xml:space="preserve">Wdrożenie oferowanego w punkcie 3 rozwiązania i integracja z systemem backupowym zamawiającego </w:t>
      </w:r>
      <w:proofErr w:type="spellStart"/>
      <w:r w:rsidRPr="009B5EF2">
        <w:rPr>
          <w:rFonts w:ascii="Calibri" w:hAnsi="Calibri" w:cs="Calibri"/>
          <w:smallCaps/>
          <w:sz w:val="24"/>
          <w:szCs w:val="24"/>
        </w:rPr>
        <w:t>Veeam</w:t>
      </w:r>
      <w:proofErr w:type="spellEnd"/>
      <w:r w:rsidRPr="009B5EF2">
        <w:rPr>
          <w:rFonts w:ascii="Calibri" w:hAnsi="Calibri" w:cs="Calibri"/>
          <w:smallCaps/>
          <w:sz w:val="24"/>
          <w:szCs w:val="24"/>
        </w:rPr>
        <w:t xml:space="preserve"> zgodnie z najlepszymi praktykami wraz ze szkoleniem stanowiskowym</w:t>
      </w:r>
    </w:p>
    <w:p w14:paraId="41A402EE" w14:textId="77777777" w:rsidR="009B5EF2" w:rsidRPr="009B5EF2" w:rsidRDefault="009B5EF2" w:rsidP="009B5EF2">
      <w:pPr>
        <w:spacing w:line="276" w:lineRule="auto"/>
        <w:rPr>
          <w:rFonts w:ascii="Calibri" w:hAnsi="Calibri" w:cs="Calibri"/>
          <w:smallCaps/>
          <w:sz w:val="24"/>
          <w:szCs w:val="24"/>
        </w:rPr>
      </w:pPr>
    </w:p>
    <w:p w14:paraId="4C113F0D" w14:textId="77777777" w:rsidR="009B5EF2" w:rsidRPr="009B5EF2" w:rsidRDefault="009B5EF2" w:rsidP="009B5EF2">
      <w:pPr>
        <w:spacing w:line="276" w:lineRule="auto"/>
        <w:rPr>
          <w:rFonts w:ascii="Calibri" w:hAnsi="Calibri" w:cs="Calibri"/>
          <w:smallCaps/>
          <w:sz w:val="24"/>
          <w:szCs w:val="24"/>
        </w:rPr>
      </w:pPr>
    </w:p>
    <w:p w14:paraId="4CACA05A" w14:textId="77777777" w:rsidR="009B5EF2" w:rsidRPr="009B5EF2" w:rsidRDefault="009B5EF2" w:rsidP="009B5EF2">
      <w:pPr>
        <w:spacing w:line="276" w:lineRule="auto"/>
        <w:rPr>
          <w:rFonts w:ascii="Calibri" w:hAnsi="Calibri" w:cs="Calibri"/>
          <w:smallCaps/>
          <w:sz w:val="24"/>
          <w:szCs w:val="24"/>
        </w:rPr>
      </w:pPr>
    </w:p>
    <w:p w14:paraId="1590733E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61A1BD21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14E19041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2C67CB5B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24F12F50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53B0CDF4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40D9E4D4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022C7508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7E92697A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1102185D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  <w:r w:rsidRPr="009B5EF2">
        <w:rPr>
          <w:rFonts w:ascii="Calibri" w:hAnsi="Calibri" w:cs="Calibri"/>
          <w:b/>
          <w:smallCaps/>
          <w:sz w:val="24"/>
          <w:szCs w:val="24"/>
        </w:rPr>
        <w:lastRenderedPageBreak/>
        <w:t>Urządzenie do backupu – Wymagania szczegółowe</w:t>
      </w:r>
    </w:p>
    <w:p w14:paraId="186D7291" w14:textId="77777777" w:rsidR="009B5EF2" w:rsidRPr="009B5EF2" w:rsidRDefault="009B5EF2" w:rsidP="009B5EF2">
      <w:pPr>
        <w:spacing w:line="276" w:lineRule="auto"/>
        <w:rPr>
          <w:rFonts w:ascii="Calibri" w:hAnsi="Calibri" w:cs="Calibri"/>
          <w:b/>
          <w:smallCaps/>
          <w:sz w:val="24"/>
          <w:szCs w:val="24"/>
        </w:rPr>
      </w:pPr>
    </w:p>
    <w:p w14:paraId="39D0E2CB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Urządzenie oferuje Moduł Integracyjny (</w:t>
      </w:r>
      <w:r w:rsidRPr="009B5EF2">
        <w:rPr>
          <w:rFonts w:ascii="Calibri" w:hAnsi="Calibri" w:cs="Calibri"/>
          <w:b/>
          <w:bCs/>
          <w:sz w:val="24"/>
          <w:szCs w:val="24"/>
        </w:rPr>
        <w:t>MI</w:t>
      </w:r>
      <w:r w:rsidRPr="009B5EF2">
        <w:rPr>
          <w:rFonts w:ascii="Calibri" w:hAnsi="Calibri" w:cs="Calibri"/>
          <w:sz w:val="24"/>
          <w:szCs w:val="24"/>
        </w:rPr>
        <w:t xml:space="preserve">) z oprogramowaniem </w:t>
      </w:r>
      <w:proofErr w:type="spellStart"/>
      <w:r w:rsidRPr="009B5EF2">
        <w:rPr>
          <w:rFonts w:ascii="Calibri" w:hAnsi="Calibri" w:cs="Calibri"/>
          <w:sz w:val="24"/>
          <w:szCs w:val="24"/>
        </w:rPr>
        <w:t>NetBackup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Backup </w:t>
      </w:r>
      <w:proofErr w:type="spellStart"/>
      <w:r w:rsidRPr="009B5EF2">
        <w:rPr>
          <w:rFonts w:ascii="Calibri" w:hAnsi="Calibri" w:cs="Calibri"/>
          <w:sz w:val="24"/>
          <w:szCs w:val="24"/>
        </w:rPr>
        <w:t>Exec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Data </w:t>
      </w:r>
      <w:proofErr w:type="spellStart"/>
      <w:r w:rsidRPr="009B5EF2">
        <w:rPr>
          <w:rFonts w:ascii="Calibri" w:hAnsi="Calibri" w:cs="Calibri"/>
          <w:sz w:val="24"/>
          <w:szCs w:val="24"/>
        </w:rPr>
        <w:t>Protector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B5EF2">
        <w:rPr>
          <w:rFonts w:ascii="Calibri" w:hAnsi="Calibri" w:cs="Calibri"/>
          <w:sz w:val="24"/>
          <w:szCs w:val="24"/>
        </w:rPr>
        <w:t>Veeam</w:t>
      </w:r>
      <w:proofErr w:type="spellEnd"/>
      <w:r w:rsidRPr="009B5EF2">
        <w:rPr>
          <w:rFonts w:ascii="Calibri" w:hAnsi="Calibri" w:cs="Calibri"/>
          <w:sz w:val="24"/>
          <w:szCs w:val="24"/>
        </w:rPr>
        <w:t>, Oracle RMAN, MS SQL oraz SAP HANA poprzez API realizujące funkcje:</w:t>
      </w:r>
    </w:p>
    <w:p w14:paraId="1D994F7A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Wykonania kopii zapasowej z zastosowaniem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deduplikacji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na źródle, serwerze backupu lub urządzeniu backupowym przez dowolnie wybrane medium transmisyjne WAN, LAN i SAN</w:t>
      </w:r>
    </w:p>
    <w:p w14:paraId="1D8ACAF9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Samodzielnej syntezy pełnych kopii zapasowych bez transferu danych na urządzenia/serwery zewnętrzne.</w:t>
      </w:r>
    </w:p>
    <w:p w14:paraId="70996927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Zarządzania operacjami replikacji (wyłącznie unikalnych bloków - bez </w:t>
      </w:r>
      <w:proofErr w:type="spellStart"/>
      <w:r w:rsidRPr="009B5EF2">
        <w:rPr>
          <w:rFonts w:ascii="Calibri" w:hAnsi="Calibri" w:cs="Calibri"/>
          <w:sz w:val="24"/>
          <w:szCs w:val="24"/>
        </w:rPr>
        <w:t>rehydracji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) realizowaną bezpośrednio pomiędzy urządzeniami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deduplikującymi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przez sieć WAN/LAN</w:t>
      </w:r>
    </w:p>
    <w:p w14:paraId="4863EDEF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Zarządzanie retencją danych</w:t>
      </w:r>
    </w:p>
    <w:p w14:paraId="3CABD1E6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Zarządzać migracją </w:t>
      </w:r>
      <w:proofErr w:type="spellStart"/>
      <w:r w:rsidRPr="009B5EF2">
        <w:rPr>
          <w:rFonts w:ascii="Calibri" w:hAnsi="Calibri" w:cs="Calibri"/>
          <w:sz w:val="24"/>
          <w:szCs w:val="24"/>
        </w:rPr>
        <w:t>zdeduplikowanych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i skompresowanych danych do chmurowej pamięci obiektowej protokołami AWS S3 i </w:t>
      </w:r>
      <w:proofErr w:type="spellStart"/>
      <w:r w:rsidRPr="009B5EF2">
        <w:rPr>
          <w:rFonts w:ascii="Calibri" w:hAnsi="Calibri" w:cs="Calibri"/>
          <w:sz w:val="24"/>
          <w:szCs w:val="24"/>
        </w:rPr>
        <w:t>Azure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Blob</w:t>
      </w:r>
      <w:proofErr w:type="spellEnd"/>
      <w:r w:rsidRPr="009B5EF2">
        <w:rPr>
          <w:rFonts w:ascii="Calibri" w:hAnsi="Calibri" w:cs="Calibri"/>
          <w:sz w:val="24"/>
          <w:szCs w:val="24"/>
        </w:rPr>
        <w:t>.</w:t>
      </w:r>
    </w:p>
    <w:p w14:paraId="26A049DC" w14:textId="77777777" w:rsidR="009B5EF2" w:rsidRPr="009B5EF2" w:rsidRDefault="009B5EF2" w:rsidP="009B5EF2">
      <w:pPr>
        <w:pStyle w:val="Akapitzlist1"/>
        <w:numPr>
          <w:ilvl w:val="0"/>
          <w:numId w:val="2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MI musi być wspierany na platformach AIX, HP-UX, Windows, Linux w sieciach IP (IP4 oraz IP6) oraz SAN (FC).</w:t>
      </w:r>
    </w:p>
    <w:p w14:paraId="66266472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Oferuje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deduplikację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zmiennym blokiem o średniej wielkości 4KB z funkcją </w:t>
      </w:r>
      <w:proofErr w:type="spellStart"/>
      <w:r w:rsidRPr="009B5EF2">
        <w:rPr>
          <w:rFonts w:ascii="Calibri" w:hAnsi="Calibri" w:cs="Calibri"/>
          <w:sz w:val="24"/>
          <w:szCs w:val="24"/>
        </w:rPr>
        <w:t>sliding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window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w trybie in-</w:t>
      </w:r>
      <w:proofErr w:type="spellStart"/>
      <w:r w:rsidRPr="009B5EF2">
        <w:rPr>
          <w:rFonts w:ascii="Calibri" w:hAnsi="Calibri" w:cs="Calibri"/>
          <w:sz w:val="24"/>
          <w:szCs w:val="24"/>
        </w:rPr>
        <w:t>line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(w pamięci) urządzenia (współczynnik równoważności W</w:t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  <w:vertAlign w:val="subscript"/>
        </w:rPr>
        <w:t>1</w:t>
      </w:r>
      <w:r w:rsidRPr="009B5EF2">
        <w:rPr>
          <w:rFonts w:ascii="Calibri" w:hAnsi="Calibri" w:cs="Calibri"/>
          <w:sz w:val="24"/>
          <w:szCs w:val="24"/>
        </w:rPr>
        <w:t xml:space="preserve">=0) lub w konfiguracji równoważnej to jest: </w:t>
      </w:r>
    </w:p>
    <w:p w14:paraId="69E84ABE" w14:textId="77777777" w:rsidR="009B5EF2" w:rsidRPr="009B5EF2" w:rsidRDefault="009B5EF2" w:rsidP="009B5EF2">
      <w:pPr>
        <w:pStyle w:val="Akapitzlist1"/>
        <w:numPr>
          <w:ilvl w:val="0"/>
          <w:numId w:val="3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dla urządzeń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deduplikujących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zmiennym blokiem o średniej wielkości do 8kB lub bez użycia </w:t>
      </w:r>
      <w:proofErr w:type="spellStart"/>
      <w:r w:rsidRPr="009B5EF2">
        <w:rPr>
          <w:rFonts w:ascii="Calibri" w:hAnsi="Calibri" w:cs="Calibri"/>
          <w:sz w:val="24"/>
          <w:szCs w:val="24"/>
        </w:rPr>
        <w:t>sliding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window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należy zastosować współczynnik równoważności W</w:t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  <w:vertAlign w:val="subscript"/>
        </w:rPr>
        <w:t>1</w:t>
      </w:r>
      <w:r w:rsidRPr="009B5EF2">
        <w:rPr>
          <w:rFonts w:ascii="Calibri" w:hAnsi="Calibri" w:cs="Calibri"/>
          <w:sz w:val="24"/>
          <w:szCs w:val="24"/>
        </w:rPr>
        <w:t xml:space="preserve">=0,5 dla wymaganej specyfikacją pojemności netto i wydajności. </w:t>
      </w:r>
    </w:p>
    <w:p w14:paraId="0F88595B" w14:textId="77777777" w:rsidR="009B5EF2" w:rsidRPr="009B5EF2" w:rsidRDefault="009B5EF2" w:rsidP="009B5EF2">
      <w:pPr>
        <w:pStyle w:val="Akapitzlist1"/>
        <w:numPr>
          <w:ilvl w:val="0"/>
          <w:numId w:val="3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dla urządzeń, dla których zalecane jest stosowanie bloku o stałej długości z przedziału 8-256kB współczynnik równoważności W</w:t>
      </w:r>
      <w:r w:rsidRPr="009B5EF2">
        <w:rPr>
          <w:rFonts w:ascii="Calibri" w:hAnsi="Calibri" w:cs="Calibri"/>
          <w:sz w:val="24"/>
          <w:szCs w:val="24"/>
          <w:vertAlign w:val="subscript"/>
        </w:rPr>
        <w:t>1</w:t>
      </w:r>
      <w:r w:rsidRPr="009B5EF2">
        <w:rPr>
          <w:rFonts w:ascii="Calibri" w:hAnsi="Calibri" w:cs="Calibri"/>
          <w:sz w:val="24"/>
          <w:szCs w:val="24"/>
        </w:rPr>
        <w:t>=1 dla wymaganej specyfikacją pojemności netto i wydajności.</w:t>
      </w:r>
    </w:p>
    <w:p w14:paraId="7CD8B4F9" w14:textId="77777777" w:rsidR="009B5EF2" w:rsidRPr="009B5EF2" w:rsidRDefault="009B5EF2" w:rsidP="009B5EF2">
      <w:pPr>
        <w:pStyle w:val="Akapitzlist1"/>
        <w:numPr>
          <w:ilvl w:val="0"/>
          <w:numId w:val="3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urządzenia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deduplikujące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w trybie innym niż </w:t>
      </w:r>
      <w:proofErr w:type="spellStart"/>
      <w:r w:rsidRPr="009B5EF2">
        <w:rPr>
          <w:rFonts w:ascii="Calibri" w:hAnsi="Calibri" w:cs="Calibri"/>
          <w:sz w:val="24"/>
          <w:szCs w:val="24"/>
        </w:rPr>
        <w:t>inline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powinny być dostarczone z pamięcią podręczną zbudowaną z dysków SSD o wyszczególnionej w specyfikacji pojemności netto równej dziennemu zrzutowi.</w:t>
      </w:r>
    </w:p>
    <w:p w14:paraId="41767EAA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Urządzenie musi posiadać na swej liście wsparcia i znajdować się na listach wsparcia bieżących wersji oprogramowania backupowego: </w:t>
      </w:r>
      <w:proofErr w:type="spellStart"/>
      <w:r w:rsidRPr="009B5EF2">
        <w:rPr>
          <w:rFonts w:ascii="Calibri" w:hAnsi="Calibri" w:cs="Calibri"/>
          <w:sz w:val="24"/>
          <w:szCs w:val="24"/>
        </w:rPr>
        <w:t>NetBackup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i Backup </w:t>
      </w:r>
      <w:proofErr w:type="spellStart"/>
      <w:r w:rsidRPr="009B5EF2">
        <w:rPr>
          <w:rFonts w:ascii="Calibri" w:hAnsi="Calibri" w:cs="Calibri"/>
          <w:sz w:val="24"/>
          <w:szCs w:val="24"/>
        </w:rPr>
        <w:t>Exec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B5EF2">
        <w:rPr>
          <w:rFonts w:ascii="Calibri" w:hAnsi="Calibri" w:cs="Calibri"/>
          <w:sz w:val="24"/>
          <w:szCs w:val="24"/>
        </w:rPr>
        <w:t>CommVault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Simpana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IBM TSM, Data </w:t>
      </w:r>
      <w:proofErr w:type="spellStart"/>
      <w:r w:rsidRPr="009B5EF2">
        <w:rPr>
          <w:rFonts w:ascii="Calibri" w:hAnsi="Calibri" w:cs="Calibri"/>
          <w:sz w:val="24"/>
          <w:szCs w:val="24"/>
        </w:rPr>
        <w:t>Protector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B5EF2">
        <w:rPr>
          <w:rFonts w:ascii="Calibri" w:hAnsi="Calibri" w:cs="Calibri"/>
          <w:sz w:val="24"/>
          <w:szCs w:val="24"/>
        </w:rPr>
        <w:t>Veeam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EMC </w:t>
      </w:r>
      <w:proofErr w:type="spellStart"/>
      <w:r w:rsidRPr="009B5EF2">
        <w:rPr>
          <w:rFonts w:ascii="Calibri" w:hAnsi="Calibri" w:cs="Calibri"/>
          <w:sz w:val="24"/>
          <w:szCs w:val="24"/>
        </w:rPr>
        <w:t>Networker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oraz oświadczenie producenta, że nie ogłosił rezygnacji ze wsparcia linii produktowych wyspecyfikowanych powyżej.</w:t>
      </w:r>
    </w:p>
    <w:p w14:paraId="0B06790B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Zapewnia replikację </w:t>
      </w:r>
      <w:proofErr w:type="spellStart"/>
      <w:r w:rsidRPr="009B5EF2">
        <w:rPr>
          <w:rFonts w:ascii="Calibri" w:hAnsi="Calibri" w:cs="Calibri"/>
          <w:sz w:val="24"/>
          <w:szCs w:val="24"/>
        </w:rPr>
        <w:t>zdeduplikowanych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zasobów poprzez sieć WAN/LAN (bez tzw. </w:t>
      </w:r>
      <w:proofErr w:type="spellStart"/>
      <w:r w:rsidRPr="009B5EF2">
        <w:rPr>
          <w:rFonts w:ascii="Calibri" w:hAnsi="Calibri" w:cs="Calibri"/>
          <w:sz w:val="24"/>
          <w:szCs w:val="24"/>
        </w:rPr>
        <w:t>rehydracji</w:t>
      </w:r>
      <w:proofErr w:type="spellEnd"/>
      <w:r w:rsidRPr="009B5EF2">
        <w:rPr>
          <w:rFonts w:ascii="Calibri" w:hAnsi="Calibri" w:cs="Calibri"/>
          <w:sz w:val="24"/>
          <w:szCs w:val="24"/>
        </w:rPr>
        <w:t>) zarządzaną bezpośrednio przez oprogramowanie kopii zapasowych przez interfejsy OST lub dedykowane MI.</w:t>
      </w:r>
    </w:p>
    <w:p w14:paraId="46C18BF5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ind w:left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Oferowane urządzenie pozwala na równoczesny dostęp protokołami FC i </w:t>
      </w:r>
      <w:proofErr w:type="spellStart"/>
      <w:r w:rsidRPr="009B5EF2">
        <w:rPr>
          <w:rFonts w:ascii="Calibri" w:hAnsi="Calibri" w:cs="Calibri"/>
          <w:sz w:val="24"/>
          <w:szCs w:val="24"/>
        </w:rPr>
        <w:t>iSCSI</w:t>
      </w:r>
      <w:proofErr w:type="spellEnd"/>
      <w:r w:rsidRPr="009B5EF2">
        <w:rPr>
          <w:rFonts w:ascii="Calibri" w:hAnsi="Calibri" w:cs="Calibri"/>
          <w:sz w:val="24"/>
          <w:szCs w:val="24"/>
        </w:rPr>
        <w:t>, NFS, CIFS. Zainstalowane w urządzeniu porty:</w:t>
      </w:r>
    </w:p>
    <w:p w14:paraId="0A230CD9" w14:textId="77777777" w:rsidR="009B5EF2" w:rsidRPr="009B5EF2" w:rsidRDefault="009B5EF2" w:rsidP="009B5EF2">
      <w:pPr>
        <w:pStyle w:val="Akapitzlist1"/>
        <w:numPr>
          <w:ilvl w:val="0"/>
          <w:numId w:val="1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lastRenderedPageBreak/>
        <w:t xml:space="preserve">co najmniej 2 x FC 32Gb/s z możliwością obsługi każdym portem FC protokołów VTL oraz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Deduplikacji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na źródle, wszystkie porty wyposażone we wkładki 32Gb/s</w:t>
      </w:r>
    </w:p>
    <w:p w14:paraId="7DB0A84F" w14:textId="77777777" w:rsidR="009B5EF2" w:rsidRPr="009B5EF2" w:rsidRDefault="009B5EF2" w:rsidP="009B5EF2">
      <w:pPr>
        <w:pStyle w:val="Akapitzlist1"/>
        <w:numPr>
          <w:ilvl w:val="0"/>
          <w:numId w:val="1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co najmniej 2x 10Gbit SFP+ lub SFP28 wraz z dedykowanymi przez producenta wkładkami 10Gbit na światłowód SM</w:t>
      </w:r>
    </w:p>
    <w:p w14:paraId="1858C2C9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Urządzenie zabezpiecza dane przechowywane lokalnie w technologii RAID6 oraz musi posiadać dyski „hot </w:t>
      </w:r>
      <w:proofErr w:type="spellStart"/>
      <w:r w:rsidRPr="009B5EF2">
        <w:rPr>
          <w:rFonts w:ascii="Calibri" w:hAnsi="Calibri" w:cs="Calibri"/>
          <w:sz w:val="24"/>
          <w:szCs w:val="24"/>
        </w:rPr>
        <w:t>spare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” w ilości rekomendowanej przez producenta, nie mniejszej niż 6% ogólnej ilości dysków. </w:t>
      </w:r>
    </w:p>
    <w:p w14:paraId="3A93157A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Urządzenie musi zawierać wszystkie niezbędne licencje dla dostarczonej pojemności do realizacji następujących funkcji:</w:t>
      </w:r>
    </w:p>
    <w:p w14:paraId="37ABC841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proofErr w:type="spellStart"/>
      <w:r w:rsidRPr="009B5EF2">
        <w:rPr>
          <w:rFonts w:ascii="Calibri" w:hAnsi="Calibri" w:cs="Calibri"/>
          <w:sz w:val="24"/>
          <w:szCs w:val="24"/>
        </w:rPr>
        <w:t>Deduplikacji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inline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, </w:t>
      </w:r>
    </w:p>
    <w:p w14:paraId="542E44C5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dostęp po NFS, CIFS</w:t>
      </w:r>
    </w:p>
    <w:p w14:paraId="0E112DA2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dostęp przez VTL</w:t>
      </w:r>
    </w:p>
    <w:p w14:paraId="44106130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dostęp prze Moduł Integracyjny</w:t>
      </w:r>
    </w:p>
    <w:p w14:paraId="436D5743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centralny system zarządzania przez CLI i GUI dla zaoferowanych urządzeń </w:t>
      </w:r>
    </w:p>
    <w:p w14:paraId="54B98399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centralny monitoring urządzeń </w:t>
      </w:r>
    </w:p>
    <w:p w14:paraId="6BFA71C0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licencję replikacji (bez </w:t>
      </w:r>
      <w:proofErr w:type="spellStart"/>
      <w:r w:rsidRPr="009B5EF2">
        <w:rPr>
          <w:rFonts w:ascii="Calibri" w:hAnsi="Calibri" w:cs="Calibri"/>
          <w:sz w:val="24"/>
          <w:szCs w:val="24"/>
        </w:rPr>
        <w:t>rehydracji</w:t>
      </w:r>
      <w:proofErr w:type="spellEnd"/>
      <w:r w:rsidRPr="009B5EF2">
        <w:rPr>
          <w:rFonts w:ascii="Calibri" w:hAnsi="Calibri" w:cs="Calibri"/>
          <w:sz w:val="24"/>
          <w:szCs w:val="24"/>
        </w:rPr>
        <w:t>) z/do urządzenia z wykorzystaniem MI</w:t>
      </w:r>
    </w:p>
    <w:p w14:paraId="01EAC58B" w14:textId="77777777" w:rsidR="009B5EF2" w:rsidRPr="009B5EF2" w:rsidRDefault="009B5EF2" w:rsidP="009B5EF2">
      <w:pPr>
        <w:pStyle w:val="Akapitzlist1"/>
        <w:numPr>
          <w:ilvl w:val="0"/>
          <w:numId w:val="4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proofErr w:type="spellStart"/>
      <w:r w:rsidRPr="009B5EF2">
        <w:rPr>
          <w:rFonts w:ascii="Calibri" w:hAnsi="Calibri" w:cs="Calibri"/>
          <w:sz w:val="24"/>
          <w:szCs w:val="24"/>
        </w:rPr>
        <w:t>immutable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B5EF2">
        <w:rPr>
          <w:rFonts w:ascii="Calibri" w:hAnsi="Calibri" w:cs="Calibri"/>
          <w:sz w:val="24"/>
          <w:szCs w:val="24"/>
        </w:rPr>
        <w:t>backups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– gwarancja istnienia i niezmienności plików backupu przez zadany czas </w:t>
      </w:r>
    </w:p>
    <w:p w14:paraId="41C24807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Urządzenie musi oferować opcje bezpieczeństwa, tj. </w:t>
      </w:r>
    </w:p>
    <w:p w14:paraId="5551FD13" w14:textId="77777777" w:rsidR="009B5EF2" w:rsidRPr="009B5EF2" w:rsidRDefault="009B5EF2" w:rsidP="009B5EF2">
      <w:pPr>
        <w:pStyle w:val="Akapitzlist1"/>
        <w:numPr>
          <w:ilvl w:val="0"/>
          <w:numId w:val="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szyfrowanie danych zgodnym z FIPS 140-2 CAVP/CMVP. Opcja szyfrowania powinna wybiórczo pozwalać na:</w:t>
      </w:r>
    </w:p>
    <w:p w14:paraId="45669526" w14:textId="77777777" w:rsidR="009B5EF2" w:rsidRPr="009B5EF2" w:rsidRDefault="009B5EF2" w:rsidP="009B5EF2">
      <w:pPr>
        <w:pStyle w:val="Akapitzlist1"/>
        <w:spacing w:line="276" w:lineRule="auto"/>
        <w:ind w:left="70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- szyfrowanie transmisji danych po IP</w:t>
      </w:r>
    </w:p>
    <w:p w14:paraId="0B74A514" w14:textId="77777777" w:rsidR="009B5EF2" w:rsidRPr="009B5EF2" w:rsidRDefault="009B5EF2" w:rsidP="009B5EF2">
      <w:pPr>
        <w:pStyle w:val="Akapitzlist1"/>
        <w:spacing w:line="276" w:lineRule="auto"/>
        <w:ind w:left="709"/>
        <w:rPr>
          <w:rFonts w:ascii="Calibri" w:eastAsia="Times New Roman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- szyfrowanie przechowywanych danych na każdym wskazanym zasobie urządzenia niezależnymi kluczem</w:t>
      </w:r>
    </w:p>
    <w:p w14:paraId="14EDB4AE" w14:textId="77777777" w:rsidR="009B5EF2" w:rsidRPr="009B5EF2" w:rsidRDefault="009B5EF2" w:rsidP="009B5EF2">
      <w:pPr>
        <w:pStyle w:val="Akapitzlist1"/>
        <w:numPr>
          <w:ilvl w:val="0"/>
          <w:numId w:val="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bezpiecznego kasowania wybranych obiektów z zasobów dyskowych zgodne z NIST SP 800-88</w:t>
      </w:r>
    </w:p>
    <w:p w14:paraId="7E392477" w14:textId="77777777" w:rsidR="009B5EF2" w:rsidRPr="009B5EF2" w:rsidRDefault="009B5EF2" w:rsidP="009B5EF2">
      <w:pPr>
        <w:pStyle w:val="Akapitzlist1"/>
        <w:numPr>
          <w:ilvl w:val="0"/>
          <w:numId w:val="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Dostarczana funkcjonalność i licencja replikacji przechowywanych na urządzeniu danych powinny zapewniać pełną kontrolę przez GUI, lub CLI nad szyfrowanymi zasobami, w tym na zmianę pojemności przeznaczonych na szyfrowane dane zasobów w zakresie od 1TB do pełnej zamówionej pojemności w dowolnym czasie użytkowania. </w:t>
      </w:r>
    </w:p>
    <w:p w14:paraId="7138DE57" w14:textId="77777777" w:rsidR="009B5EF2" w:rsidRPr="009B5EF2" w:rsidRDefault="009B5EF2" w:rsidP="009B5EF2">
      <w:pPr>
        <w:spacing w:line="276" w:lineRule="auto"/>
        <w:ind w:left="426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Funkcje muszą zapewniać niezależne i wybiórcze stosowanie dla wskazanych zasobów. Zarządzanie kluczami (1 per udział) ma zapewniać możliwości kopiowania i odtwarzania kluczy. (współczynnik równoważności W</w:t>
      </w:r>
      <w:r w:rsidRPr="009B5EF2">
        <w:rPr>
          <w:rFonts w:ascii="Calibri" w:hAnsi="Calibri" w:cs="Calibri"/>
          <w:sz w:val="24"/>
          <w:szCs w:val="24"/>
          <w:vertAlign w:val="subscript"/>
        </w:rPr>
        <w:t>2</w:t>
      </w:r>
      <w:r w:rsidRPr="009B5EF2">
        <w:rPr>
          <w:rFonts w:ascii="Calibri" w:hAnsi="Calibri" w:cs="Calibri"/>
          <w:sz w:val="24"/>
          <w:szCs w:val="24"/>
        </w:rPr>
        <w:t>=0)</w:t>
      </w:r>
    </w:p>
    <w:p w14:paraId="2DB6AC36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W przypadku, jeśli urządzenie nie umożliwia selektywnej aktywacji szyfrowania opisanej powyżej oraz bezpiecznego kasowania na poziomie udostępnianego zasobu, Zamawiający zezwala na dostarczenie rozwiązania równoważnego spełniającego jedno z wymagań poniżej :</w:t>
      </w:r>
    </w:p>
    <w:p w14:paraId="53F97027" w14:textId="77777777" w:rsidR="009B5EF2" w:rsidRPr="009B5EF2" w:rsidRDefault="009B5EF2" w:rsidP="009B5EF2">
      <w:pPr>
        <w:pStyle w:val="Akapitzlist1"/>
        <w:numPr>
          <w:ilvl w:val="0"/>
          <w:numId w:val="6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dostarczyć dodatkowe urządzenie o parametrach nie mniejszej niż wyspecyfikowana w zamówieniu przeznaczone na dane szyfrowane </w:t>
      </w:r>
    </w:p>
    <w:p w14:paraId="23506E86" w14:textId="77777777" w:rsidR="009B5EF2" w:rsidRPr="009B5EF2" w:rsidRDefault="009B5EF2" w:rsidP="009B5EF2">
      <w:pPr>
        <w:pStyle w:val="Akapitzlist1"/>
        <w:numPr>
          <w:ilvl w:val="0"/>
          <w:numId w:val="6"/>
        </w:numPr>
        <w:spacing w:line="276" w:lineRule="auto"/>
        <w:ind w:left="709" w:hanging="285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Dostarczyć urządzenie o wydajność uwzględniającej współczynnik równoważności W</w:t>
      </w:r>
      <w:r w:rsidRPr="009B5EF2">
        <w:rPr>
          <w:rFonts w:ascii="Calibri" w:hAnsi="Calibri" w:cs="Calibri"/>
          <w:sz w:val="24"/>
          <w:szCs w:val="24"/>
          <w:vertAlign w:val="subscript"/>
        </w:rPr>
        <w:t>2</w:t>
      </w:r>
      <w:r w:rsidRPr="009B5EF2">
        <w:rPr>
          <w:rFonts w:ascii="Calibri" w:hAnsi="Calibri" w:cs="Calibri"/>
          <w:sz w:val="24"/>
          <w:szCs w:val="24"/>
        </w:rPr>
        <w:t>=0,5 dla wydajności wyspecyfikowanej w SIWZ.</w:t>
      </w:r>
    </w:p>
    <w:p w14:paraId="5FACC2CD" w14:textId="77777777" w:rsidR="009B5EF2" w:rsidRPr="009B5EF2" w:rsidRDefault="009B5EF2" w:rsidP="009B5EF2">
      <w:pPr>
        <w:pStyle w:val="Akapitzlist1"/>
        <w:spacing w:line="276" w:lineRule="auto"/>
        <w:ind w:left="424"/>
        <w:rPr>
          <w:rFonts w:ascii="Calibri" w:hAnsi="Calibri" w:cs="Calibri"/>
          <w:sz w:val="24"/>
          <w:szCs w:val="24"/>
        </w:rPr>
      </w:pPr>
    </w:p>
    <w:p w14:paraId="01BA0E30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Urządzenie umożliwia zarządzanie pasmem backupu, replikacji/kopiowana danych pomiędzy urządzeniami.</w:t>
      </w:r>
    </w:p>
    <w:p w14:paraId="108F9EF5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Rozwiązanie powinno oferować centralną konsolę zarządzania pozwalającą na zarządzanie do 20 urządzeniami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deduplikacyjnymi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z jednej konsoli w zakresie raportowania (zajętości dysków, poziomów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deduplikacji</w:t>
      </w:r>
      <w:proofErr w:type="spellEnd"/>
      <w:r w:rsidRPr="009B5EF2">
        <w:rPr>
          <w:rFonts w:ascii="Calibri" w:hAnsi="Calibri" w:cs="Calibri"/>
          <w:sz w:val="24"/>
          <w:szCs w:val="24"/>
        </w:rPr>
        <w:t>, replikacji danych, trendów) powiadamiania itp. z możliwością wyświetlania wykresów eksportu.</w:t>
      </w:r>
    </w:p>
    <w:p w14:paraId="3F540C88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W przypadku, jeśli producent nie specyfikuje na ogólnodostępnych stronach internetowych informacji dot. wydajności odtworzenia danych oferowanego urządzenia należy przyjąć, że wydajność odtworzenia wynosi 35% wydajności tworzenia kopii zapasowych przy zastosowaniu wskazanego przez dostawcę interfejsu tworzenia kopii zapasowych. </w:t>
      </w:r>
    </w:p>
    <w:p w14:paraId="201D0E0B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Redundantne zasilanie (n+1)</w:t>
      </w:r>
    </w:p>
    <w:p w14:paraId="2D41002A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Proces usuwania przeterminowanych danych tzw. „</w:t>
      </w:r>
      <w:proofErr w:type="spellStart"/>
      <w:r w:rsidRPr="009B5EF2">
        <w:rPr>
          <w:rFonts w:ascii="Calibri" w:hAnsi="Calibri" w:cs="Calibri"/>
          <w:sz w:val="24"/>
          <w:szCs w:val="24"/>
        </w:rPr>
        <w:t>housekeeping</w:t>
      </w:r>
      <w:proofErr w:type="spellEnd"/>
      <w:r w:rsidRPr="009B5EF2">
        <w:rPr>
          <w:rFonts w:ascii="Calibri" w:hAnsi="Calibri" w:cs="Calibri"/>
          <w:sz w:val="24"/>
          <w:szCs w:val="24"/>
        </w:rPr>
        <w:t>” musi dziać w sposób ciągły, z zastrzeżeniem, że możliwe jest jego wstrzymanie w celu maksymalizacji wydajności procesów tworzenia/przywracania kopii zapasowych, lub dostarczone urządzenie dostarczone jest w konfiguracji równoważnej to jest zastosowano współczynnik równoważności W</w:t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</w:rPr>
        <w:softHyphen/>
      </w:r>
      <w:r w:rsidRPr="009B5EF2">
        <w:rPr>
          <w:rFonts w:ascii="Calibri" w:hAnsi="Calibri" w:cs="Calibri"/>
          <w:sz w:val="24"/>
          <w:szCs w:val="24"/>
          <w:vertAlign w:val="subscript"/>
        </w:rPr>
        <w:t>3</w:t>
      </w:r>
      <w:r w:rsidRPr="009B5EF2">
        <w:rPr>
          <w:rFonts w:ascii="Calibri" w:hAnsi="Calibri" w:cs="Calibri"/>
          <w:sz w:val="24"/>
          <w:szCs w:val="24"/>
        </w:rPr>
        <w:t>=0,3 dla wymaganej specyfikacją pojemności netto i wydajności.</w:t>
      </w:r>
    </w:p>
    <w:p w14:paraId="4B589B1A" w14:textId="67C82992" w:rsidR="009B5EF2" w:rsidRPr="009B5EF2" w:rsidRDefault="009B5EF2" w:rsidP="009B5EF2">
      <w:pPr>
        <w:pStyle w:val="Akapitzlist1"/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Rozwiązania o zalecanej częstotliwości uruchamiania procesów </w:t>
      </w:r>
      <w:proofErr w:type="spellStart"/>
      <w:r w:rsidRPr="009B5EF2">
        <w:rPr>
          <w:rFonts w:ascii="Calibri" w:hAnsi="Calibri" w:cs="Calibri"/>
          <w:sz w:val="24"/>
          <w:szCs w:val="24"/>
        </w:rPr>
        <w:t>housekeeping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mniejszej niż 12 godzin powinny być wyposażone w dodatkową pojemność dyskową – 30% wyspecyfikowanej w SIWZ.</w:t>
      </w:r>
    </w:p>
    <w:p w14:paraId="21430FEF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Wymogi serwisowe:</w:t>
      </w:r>
    </w:p>
    <w:p w14:paraId="24C71559" w14:textId="77777777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993" w:hanging="56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Objęcie wszystkich komponentów urządzenia gwarancją serwisowa producenta przez 3 lata</w:t>
      </w:r>
    </w:p>
    <w:p w14:paraId="048AC2CA" w14:textId="77777777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993" w:hanging="56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Przyjęcie zgłoszeń w trybie 9x5, </w:t>
      </w:r>
    </w:p>
    <w:p w14:paraId="5A5F6F7C" w14:textId="77777777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993" w:hanging="56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Realizacja usług serwisowych w miejscu instalacji sprzętu </w:t>
      </w:r>
    </w:p>
    <w:p w14:paraId="1A44D96A" w14:textId="77777777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993" w:hanging="56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Uszkodzone dyski pozostają u Zamawiającego</w:t>
      </w:r>
    </w:p>
    <w:p w14:paraId="12B040C7" w14:textId="3CF0DD01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993" w:hanging="569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Pisemne zapewnienie producenta o możliwości przedłużenia wsparcia serwisowego o kolejne 5 lat.</w:t>
      </w:r>
    </w:p>
    <w:p w14:paraId="0EB1BCB5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Oferowane urządzenie pochodzi z autoryzowanego kanału dystrybucji producenta w Polsce i jest objęte polskojęzycznym wsparciem w miejscu instalacji. Pisemne oświadczenia wystawione przez producenta podpisane i wystawione nie później niż w dniu podpisania umowy dotyczące zapewnienia:</w:t>
      </w:r>
    </w:p>
    <w:p w14:paraId="53A117E3" w14:textId="77777777" w:rsidR="009B5EF2" w:rsidRPr="009B5EF2" w:rsidRDefault="009B5EF2" w:rsidP="009B5EF2">
      <w:pPr>
        <w:pStyle w:val="Akapitzlist1"/>
        <w:numPr>
          <w:ilvl w:val="0"/>
          <w:numId w:val="7"/>
        </w:numPr>
        <w:spacing w:line="276" w:lineRule="auto"/>
        <w:ind w:left="567" w:hanging="156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gwarancji świadczonej w miejscu instalacji urządzenia z czasem reakcji następnego dnia roboczego (9x5) </w:t>
      </w:r>
    </w:p>
    <w:p w14:paraId="307517EA" w14:textId="6379039C" w:rsidR="009B5EF2" w:rsidRPr="009B5EF2" w:rsidRDefault="009B5EF2" w:rsidP="009B5EF2">
      <w:pPr>
        <w:pStyle w:val="Akapitzlist1"/>
        <w:numPr>
          <w:ilvl w:val="0"/>
          <w:numId w:val="8"/>
        </w:numPr>
        <w:spacing w:line="276" w:lineRule="auto"/>
        <w:ind w:left="567" w:hanging="156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oświadczenie, że dostarczone urządzenie będzie fabrycznie nowe, wyprodukowane w bieżącym roku i pochodzi z autoryzowanego kanału producenta na terenie Polski</w:t>
      </w:r>
    </w:p>
    <w:p w14:paraId="17233BE2" w14:textId="77777777" w:rsidR="009B5EF2" w:rsidRPr="00F6117A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Urządzenie w celu zapewnienia </w:t>
      </w:r>
      <w:r w:rsidRPr="00F6117A">
        <w:rPr>
          <w:rFonts w:ascii="Calibri" w:hAnsi="Calibri" w:cs="Calibri"/>
          <w:sz w:val="24"/>
          <w:szCs w:val="24"/>
        </w:rPr>
        <w:t>niezbędnych parametrów RTO, RPO, BW oraz wymagań retencji danych musi zapewniać:</w:t>
      </w:r>
    </w:p>
    <w:p w14:paraId="3DBD18B4" w14:textId="40EFE2E0" w:rsidR="009B5EF2" w:rsidRPr="00F6117A" w:rsidRDefault="009B5EF2" w:rsidP="009B5EF2">
      <w:pPr>
        <w:pStyle w:val="Akapitzlist1"/>
        <w:numPr>
          <w:ilvl w:val="0"/>
          <w:numId w:val="9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F6117A">
        <w:rPr>
          <w:rFonts w:ascii="Calibri" w:hAnsi="Calibri" w:cs="Calibri"/>
          <w:sz w:val="24"/>
          <w:szCs w:val="24"/>
        </w:rPr>
        <w:t xml:space="preserve">wydajność tworzenia kopii zapasowych równą iloczynowi (1 </w:t>
      </w:r>
      <w:r w:rsidR="00062A9C" w:rsidRPr="00F6117A">
        <w:rPr>
          <w:rFonts w:ascii="Calibri" w:hAnsi="Calibri" w:cs="Calibri"/>
          <w:sz w:val="24"/>
          <w:szCs w:val="24"/>
        </w:rPr>
        <w:t>+ W</w:t>
      </w:r>
      <w:r w:rsidR="00062A9C" w:rsidRPr="00F6117A">
        <w:rPr>
          <w:rFonts w:ascii="Calibri" w:hAnsi="Calibri" w:cs="Calibri"/>
          <w:sz w:val="24"/>
          <w:szCs w:val="24"/>
          <w:vertAlign w:val="subscript"/>
        </w:rPr>
        <w:t>1</w:t>
      </w:r>
      <w:r w:rsidR="00062A9C" w:rsidRPr="00F6117A">
        <w:rPr>
          <w:rFonts w:ascii="Calibri" w:hAnsi="Calibri" w:cs="Calibri"/>
          <w:sz w:val="24"/>
          <w:szCs w:val="24"/>
        </w:rPr>
        <w:t xml:space="preserve"> +</w:t>
      </w:r>
      <w:r w:rsidRPr="00F6117A">
        <w:rPr>
          <w:rFonts w:ascii="Calibri" w:hAnsi="Calibri" w:cs="Calibri"/>
          <w:sz w:val="24"/>
          <w:szCs w:val="24"/>
        </w:rPr>
        <w:t xml:space="preserve"> W</w:t>
      </w:r>
      <w:r w:rsidRPr="00F6117A">
        <w:rPr>
          <w:rFonts w:ascii="Calibri" w:hAnsi="Calibri" w:cs="Calibri"/>
          <w:sz w:val="24"/>
          <w:szCs w:val="24"/>
          <w:vertAlign w:val="subscript"/>
        </w:rPr>
        <w:t>2</w:t>
      </w:r>
      <w:r w:rsidRPr="00F6117A">
        <w:rPr>
          <w:rFonts w:ascii="Calibri" w:hAnsi="Calibri" w:cs="Calibri"/>
          <w:sz w:val="24"/>
          <w:szCs w:val="24"/>
        </w:rPr>
        <w:t xml:space="preserve"> + W</w:t>
      </w:r>
      <w:r w:rsidRPr="00F6117A">
        <w:rPr>
          <w:rFonts w:ascii="Calibri" w:hAnsi="Calibri" w:cs="Calibri"/>
          <w:sz w:val="24"/>
          <w:szCs w:val="24"/>
          <w:vertAlign w:val="subscript"/>
        </w:rPr>
        <w:t>3</w:t>
      </w:r>
      <w:r w:rsidRPr="00F6117A">
        <w:rPr>
          <w:rFonts w:ascii="Calibri" w:hAnsi="Calibri" w:cs="Calibri"/>
          <w:sz w:val="24"/>
          <w:szCs w:val="24"/>
        </w:rPr>
        <w:t xml:space="preserve">)* 25TB/h </w:t>
      </w:r>
    </w:p>
    <w:p w14:paraId="1A6995CC" w14:textId="77777777" w:rsidR="009B5EF2" w:rsidRPr="00F6117A" w:rsidRDefault="009B5EF2" w:rsidP="009B5EF2">
      <w:pPr>
        <w:pStyle w:val="Akapitzlist1"/>
        <w:numPr>
          <w:ilvl w:val="0"/>
          <w:numId w:val="9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F6117A">
        <w:rPr>
          <w:rFonts w:ascii="Calibri" w:hAnsi="Calibri" w:cs="Calibri"/>
          <w:sz w:val="24"/>
          <w:szCs w:val="24"/>
        </w:rPr>
        <w:t xml:space="preserve">obsługę co najmniej 256 strumieni kopii zapasowych </w:t>
      </w:r>
    </w:p>
    <w:p w14:paraId="5FA475DE" w14:textId="77777777" w:rsidR="009B5EF2" w:rsidRPr="00F6117A" w:rsidRDefault="009B5EF2" w:rsidP="009B5EF2">
      <w:pPr>
        <w:pStyle w:val="Akapitzlist1"/>
        <w:numPr>
          <w:ilvl w:val="0"/>
          <w:numId w:val="9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F6117A">
        <w:rPr>
          <w:rFonts w:ascii="Calibri" w:hAnsi="Calibri" w:cs="Calibri"/>
          <w:sz w:val="24"/>
          <w:szCs w:val="24"/>
        </w:rPr>
        <w:t xml:space="preserve">obsługę co najmniej 64 strumieni odtworzenia </w:t>
      </w:r>
    </w:p>
    <w:p w14:paraId="434ABFC8" w14:textId="77777777" w:rsidR="009B5EF2" w:rsidRPr="00F6117A" w:rsidRDefault="009B5EF2" w:rsidP="009B5EF2">
      <w:pPr>
        <w:pStyle w:val="Akapitzlist1"/>
        <w:numPr>
          <w:ilvl w:val="0"/>
          <w:numId w:val="9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F6117A">
        <w:rPr>
          <w:rFonts w:ascii="Calibri" w:hAnsi="Calibri" w:cs="Calibri"/>
          <w:sz w:val="24"/>
          <w:szCs w:val="24"/>
        </w:rPr>
        <w:lastRenderedPageBreak/>
        <w:t xml:space="preserve">wydajności odtworzenia:  6TB/h </w:t>
      </w:r>
      <w:bookmarkStart w:id="0" w:name="_GoBack"/>
      <w:bookmarkEnd w:id="0"/>
    </w:p>
    <w:p w14:paraId="25AC3858" w14:textId="698394E8" w:rsidR="009B5EF2" w:rsidRPr="00F6117A" w:rsidRDefault="009B5EF2" w:rsidP="009B5EF2">
      <w:pPr>
        <w:pStyle w:val="Akapitzlist1"/>
        <w:numPr>
          <w:ilvl w:val="0"/>
          <w:numId w:val="9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F6117A">
        <w:rPr>
          <w:rFonts w:ascii="Calibri" w:hAnsi="Calibri" w:cs="Calibri"/>
          <w:sz w:val="24"/>
          <w:szCs w:val="24"/>
        </w:rPr>
        <w:t xml:space="preserve">pojemność netto: </w:t>
      </w:r>
      <w:r w:rsidR="00062A9C" w:rsidRPr="00F6117A">
        <w:rPr>
          <w:rFonts w:ascii="Calibri" w:hAnsi="Calibri" w:cs="Calibri"/>
          <w:sz w:val="24"/>
          <w:szCs w:val="24"/>
        </w:rPr>
        <w:t>(1 + W</w:t>
      </w:r>
      <w:r w:rsidR="00062A9C" w:rsidRPr="00F6117A">
        <w:rPr>
          <w:rFonts w:ascii="Calibri" w:hAnsi="Calibri" w:cs="Calibri"/>
          <w:sz w:val="24"/>
          <w:szCs w:val="24"/>
          <w:vertAlign w:val="subscript"/>
        </w:rPr>
        <w:t>1</w:t>
      </w:r>
      <w:r w:rsidR="00062A9C" w:rsidRPr="00F6117A">
        <w:rPr>
          <w:rFonts w:ascii="Calibri" w:hAnsi="Calibri" w:cs="Calibri"/>
          <w:sz w:val="24"/>
          <w:szCs w:val="24"/>
        </w:rPr>
        <w:t xml:space="preserve"> + W</w:t>
      </w:r>
      <w:r w:rsidR="00062A9C" w:rsidRPr="00F6117A">
        <w:rPr>
          <w:rFonts w:ascii="Calibri" w:hAnsi="Calibri" w:cs="Calibri"/>
          <w:sz w:val="24"/>
          <w:szCs w:val="24"/>
          <w:vertAlign w:val="subscript"/>
        </w:rPr>
        <w:t>3</w:t>
      </w:r>
      <w:r w:rsidR="00062A9C" w:rsidRPr="00F6117A">
        <w:rPr>
          <w:rFonts w:ascii="Calibri" w:hAnsi="Calibri" w:cs="Calibri"/>
          <w:sz w:val="24"/>
          <w:szCs w:val="24"/>
        </w:rPr>
        <w:t xml:space="preserve">)* </w:t>
      </w:r>
      <w:r w:rsidRPr="00F6117A">
        <w:rPr>
          <w:rFonts w:ascii="Calibri" w:hAnsi="Calibri" w:cs="Calibri"/>
          <w:sz w:val="24"/>
          <w:szCs w:val="24"/>
        </w:rPr>
        <w:t>176TB</w:t>
      </w:r>
    </w:p>
    <w:p w14:paraId="5AFA55E5" w14:textId="77777777" w:rsidR="009B5EF2" w:rsidRPr="009B5EF2" w:rsidRDefault="009B5EF2" w:rsidP="009B5EF2">
      <w:pPr>
        <w:spacing w:line="276" w:lineRule="auto"/>
        <w:ind w:firstLine="360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udokumentowane w ogólnodostępnej na stronach producenta dokumentacji.   </w:t>
      </w:r>
    </w:p>
    <w:p w14:paraId="255666CA" w14:textId="77777777" w:rsidR="009B5EF2" w:rsidRP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W celu optymalizacji wykorzystania urządzenie powinno umożliwiać dla zasobów o długiej retencji: </w:t>
      </w:r>
    </w:p>
    <w:p w14:paraId="7EB20C66" w14:textId="77777777" w:rsidR="009B5EF2" w:rsidRPr="009B5EF2" w:rsidRDefault="009B5EF2" w:rsidP="009B5EF2">
      <w:pPr>
        <w:pStyle w:val="Akapitzlist1"/>
        <w:numPr>
          <w:ilvl w:val="0"/>
          <w:numId w:val="10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wyniesione do chmury prywatnej/publicznej kompatybilnej z AZURE </w:t>
      </w:r>
      <w:proofErr w:type="spellStart"/>
      <w:r w:rsidRPr="009B5EF2">
        <w:rPr>
          <w:rFonts w:ascii="Calibri" w:hAnsi="Calibri" w:cs="Calibri"/>
          <w:sz w:val="24"/>
          <w:szCs w:val="24"/>
        </w:rPr>
        <w:t>Blob</w:t>
      </w:r>
      <w:proofErr w:type="spellEnd"/>
      <w:r w:rsidRPr="009B5EF2">
        <w:rPr>
          <w:rFonts w:ascii="Calibri" w:hAnsi="Calibri" w:cs="Calibri"/>
          <w:sz w:val="24"/>
          <w:szCs w:val="24"/>
        </w:rPr>
        <w:t>, AWS S3 za pomocą wspieranej technologii MI.</w:t>
      </w:r>
    </w:p>
    <w:p w14:paraId="0F92AE07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- w formie skompresowanej i </w:t>
      </w:r>
      <w:proofErr w:type="spellStart"/>
      <w:r w:rsidRPr="009B5EF2">
        <w:rPr>
          <w:rFonts w:ascii="Calibri" w:hAnsi="Calibri" w:cs="Calibri"/>
          <w:sz w:val="24"/>
          <w:szCs w:val="24"/>
        </w:rPr>
        <w:t>zdeduplikowanej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algorytmem dostarczonego urządzenia w celu minimalizacji transferu danych</w:t>
      </w:r>
    </w:p>
    <w:p w14:paraId="092AF785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eastAsia="Times New Roman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- Transfer danych musi zachodzić wielowątkowo dla zapisu oraz odczytu danych z chmury. </w:t>
      </w:r>
    </w:p>
    <w:p w14:paraId="50666CE7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- Wyniesienie ma być wspierane w ramach integracji MI dla każdego wspieranego oprogramowania backup (ochrony danych). </w:t>
      </w:r>
    </w:p>
    <w:p w14:paraId="046CAD9E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>- Metadane dla przechowywanych w chmurze danych muszą być buforowane w urządzeniu dla szybkiego dostępu i minimalizacji transferu z chmury.</w:t>
      </w:r>
    </w:p>
    <w:p w14:paraId="584D35C1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- Urządzenie powinno umożliwiać przechowywanie w chmurze danych o pojemności wymaganej w SIWZ dla urządzenia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deduplikacyjnego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. </w:t>
      </w:r>
    </w:p>
    <w:p w14:paraId="2513FF29" w14:textId="77777777" w:rsidR="009B5EF2" w:rsidRPr="009B5EF2" w:rsidRDefault="009B5EF2" w:rsidP="009B5EF2">
      <w:pPr>
        <w:pStyle w:val="Akapitzlist1"/>
        <w:spacing w:before="60" w:after="60" w:line="276" w:lineRule="auto"/>
        <w:ind w:left="993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- Dane z przechowywane w chmurze muszą być dostępne z dowolnego urządzenia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deduplikacyjnego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wspierającego pojemność wymaganą </w:t>
      </w:r>
      <w:proofErr w:type="spellStart"/>
      <w:r w:rsidRPr="009B5EF2">
        <w:rPr>
          <w:rFonts w:ascii="Calibri" w:hAnsi="Calibri" w:cs="Calibri"/>
          <w:sz w:val="24"/>
          <w:szCs w:val="24"/>
        </w:rPr>
        <w:t>SIWZ’em</w:t>
      </w:r>
      <w:proofErr w:type="spellEnd"/>
      <w:r w:rsidRPr="009B5EF2">
        <w:rPr>
          <w:rFonts w:ascii="Calibri" w:hAnsi="Calibri" w:cs="Calibri"/>
          <w:sz w:val="24"/>
          <w:szCs w:val="24"/>
        </w:rPr>
        <w:t xml:space="preserve"> dla celów DR.</w:t>
      </w:r>
    </w:p>
    <w:p w14:paraId="0B309DC4" w14:textId="77777777" w:rsidR="009B5EF2" w:rsidRPr="009B5EF2" w:rsidRDefault="009B5EF2" w:rsidP="009B5EF2">
      <w:pPr>
        <w:pStyle w:val="Akapitzlist1"/>
        <w:numPr>
          <w:ilvl w:val="0"/>
          <w:numId w:val="10"/>
        </w:numPr>
        <w:spacing w:before="60" w:after="60"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Dane przechowywane w chmurze muszą być przechowywane w formacie/trybie samo-opisującym umożliwiającym wykorzystanie także w przypadku utraty urządzenia </w:t>
      </w:r>
      <w:proofErr w:type="spellStart"/>
      <w:r w:rsidRPr="009B5EF2">
        <w:rPr>
          <w:rFonts w:ascii="Calibri" w:hAnsi="Calibri" w:cs="Calibri"/>
          <w:sz w:val="24"/>
          <w:szCs w:val="24"/>
        </w:rPr>
        <w:t>deduplikacyjnego</w:t>
      </w:r>
      <w:proofErr w:type="spellEnd"/>
      <w:r w:rsidRPr="009B5EF2">
        <w:rPr>
          <w:rFonts w:ascii="Calibri" w:hAnsi="Calibri" w:cs="Calibri"/>
          <w:sz w:val="24"/>
          <w:szCs w:val="24"/>
        </w:rPr>
        <w:t>, które umieściło je w chmurze.</w:t>
      </w:r>
    </w:p>
    <w:p w14:paraId="091B6948" w14:textId="77777777" w:rsidR="009B5EF2" w:rsidRDefault="009B5EF2" w:rsidP="009B5EF2">
      <w:pPr>
        <w:pStyle w:val="Akapitzlist1"/>
        <w:numPr>
          <w:ilvl w:val="0"/>
          <w:numId w:val="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9B5EF2">
        <w:rPr>
          <w:rFonts w:ascii="Calibri" w:hAnsi="Calibri" w:cs="Calibri"/>
          <w:sz w:val="24"/>
          <w:szCs w:val="24"/>
        </w:rPr>
        <w:t xml:space="preserve">Urządzenie musi posiadać możliwość zapewnienia niezmienności zapisanych danych przez określony czas. W zdefiniowanym okresie niezmienności Obiekty nie mogą być skasowane przez administratora, użytkownika lub oprogramowanie backup. </w:t>
      </w:r>
    </w:p>
    <w:p w14:paraId="69BD7114" w14:textId="77777777" w:rsidR="009B5EF2" w:rsidRDefault="009B5EF2" w:rsidP="009B5EF2">
      <w:pPr>
        <w:pStyle w:val="Akapitzlist1"/>
        <w:spacing w:line="276" w:lineRule="auto"/>
        <w:rPr>
          <w:rFonts w:ascii="Calibri" w:hAnsi="Calibri" w:cs="Calibri"/>
          <w:sz w:val="24"/>
          <w:szCs w:val="24"/>
        </w:rPr>
      </w:pPr>
    </w:p>
    <w:p w14:paraId="23A7FC5C" w14:textId="77777777" w:rsidR="009B5EF2" w:rsidRDefault="009B5EF2" w:rsidP="009B5EF2">
      <w:pPr>
        <w:pStyle w:val="Akapitzlist1"/>
        <w:spacing w:line="276" w:lineRule="auto"/>
        <w:rPr>
          <w:rFonts w:ascii="Calibri" w:hAnsi="Calibri" w:cs="Calibri"/>
          <w:sz w:val="24"/>
          <w:szCs w:val="24"/>
        </w:rPr>
      </w:pPr>
    </w:p>
    <w:p w14:paraId="7403DE7F" w14:textId="77777777" w:rsidR="009B5EF2" w:rsidRPr="00273945" w:rsidRDefault="009B5EF2" w:rsidP="009B5EF2">
      <w:pPr>
        <w:widowControl w:val="0"/>
        <w:suppressAutoHyphens/>
        <w:spacing w:line="276" w:lineRule="auto"/>
        <w:rPr>
          <w:rFonts w:ascii="Calibri" w:hAnsi="Calibri" w:cs="Calibri"/>
          <w:sz w:val="24"/>
          <w:szCs w:val="24"/>
          <w:lang w:eastAsia="ar-SA"/>
        </w:rPr>
      </w:pPr>
      <w:r w:rsidRPr="00273945">
        <w:rPr>
          <w:rFonts w:ascii="Calibri" w:hAnsi="Calibri" w:cs="Calibri"/>
          <w:sz w:val="24"/>
          <w:szCs w:val="24"/>
          <w:lang w:eastAsia="ar-SA"/>
        </w:rPr>
        <w:t xml:space="preserve">                                                         ___________________________________________</w:t>
      </w:r>
    </w:p>
    <w:p w14:paraId="537BA426" w14:textId="77777777" w:rsidR="009B5EF2" w:rsidRPr="00273945" w:rsidRDefault="009B5EF2" w:rsidP="009B5EF2">
      <w:pPr>
        <w:ind w:left="3544"/>
        <w:rPr>
          <w:rFonts w:ascii="Calibri" w:hAnsi="Calibri" w:cs="Calibri"/>
          <w:sz w:val="24"/>
          <w:szCs w:val="24"/>
        </w:rPr>
      </w:pPr>
      <w:r w:rsidRPr="00273945">
        <w:rPr>
          <w:rFonts w:ascii="Calibri" w:hAnsi="Calibri" w:cs="Calibri"/>
          <w:iCs/>
          <w:sz w:val="24"/>
          <w:szCs w:val="24"/>
        </w:rPr>
        <w:t xml:space="preserve">Dokument należy podpisać kwalifikowanym podpisem elektronicznym, podpisem zaufanym lub podpisem osobistym przez osobę(y) uprawnioną(e) </w:t>
      </w:r>
      <w:r w:rsidRPr="00273945">
        <w:rPr>
          <w:rFonts w:ascii="Calibri" w:hAnsi="Calibri" w:cs="Calibri"/>
          <w:iCs/>
          <w:sz w:val="24"/>
          <w:szCs w:val="24"/>
        </w:rPr>
        <w:br/>
        <w:t xml:space="preserve">do składania oświadczeń woli w imieniu Wykonawcy, zgodnie z formą reprezentacji Wykonawcy określoną </w:t>
      </w:r>
      <w:r w:rsidRPr="00273945">
        <w:rPr>
          <w:rFonts w:ascii="Calibri" w:hAnsi="Calibri" w:cs="Calibri"/>
          <w:iCs/>
          <w:sz w:val="24"/>
          <w:szCs w:val="24"/>
        </w:rPr>
        <w:br/>
        <w:t>w dokumencie rejestracyjnym (ewidencyjnym) właściwym dla formy organizacyjnej Wykonawcy lub pełnomocnika.</w:t>
      </w:r>
    </w:p>
    <w:p w14:paraId="7E892511" w14:textId="77777777" w:rsidR="009B5EF2" w:rsidRPr="009B5EF2" w:rsidRDefault="009B5EF2" w:rsidP="009B5EF2">
      <w:pPr>
        <w:pStyle w:val="Akapitzlist1"/>
        <w:spacing w:line="276" w:lineRule="auto"/>
        <w:rPr>
          <w:rFonts w:ascii="Calibri" w:hAnsi="Calibri" w:cs="Calibri"/>
          <w:sz w:val="24"/>
          <w:szCs w:val="24"/>
        </w:rPr>
      </w:pPr>
    </w:p>
    <w:p w14:paraId="13247CB0" w14:textId="77777777" w:rsidR="009B5EF2" w:rsidRPr="009B5EF2" w:rsidRDefault="009B5EF2" w:rsidP="009B5EF2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757501E4" w14:textId="77777777" w:rsidR="00ED6F82" w:rsidRPr="009B5EF2" w:rsidRDefault="00ED6F82" w:rsidP="00CA42C5">
      <w:pPr>
        <w:rPr>
          <w:rFonts w:ascii="Calibri" w:hAnsi="Calibri" w:cs="Calibri"/>
          <w:sz w:val="24"/>
          <w:szCs w:val="24"/>
        </w:rPr>
      </w:pPr>
    </w:p>
    <w:sectPr w:rsidR="00ED6F82" w:rsidRPr="009B5EF2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8C00D" w14:textId="77777777" w:rsidR="003850CF" w:rsidRDefault="003850CF" w:rsidP="004419B6">
      <w:pPr>
        <w:spacing w:after="0" w:line="240" w:lineRule="auto"/>
      </w:pPr>
      <w:r>
        <w:separator/>
      </w:r>
    </w:p>
  </w:endnote>
  <w:endnote w:type="continuationSeparator" w:id="0">
    <w:p w14:paraId="0A57A77E" w14:textId="77777777" w:rsidR="003850CF" w:rsidRDefault="003850CF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C709D" w14:textId="77777777" w:rsidR="003850CF" w:rsidRDefault="003850CF" w:rsidP="004419B6">
      <w:pPr>
        <w:spacing w:after="0" w:line="240" w:lineRule="auto"/>
      </w:pPr>
      <w:r>
        <w:separator/>
      </w:r>
    </w:p>
  </w:footnote>
  <w:footnote w:type="continuationSeparator" w:id="0">
    <w:p w14:paraId="1B1C12EC" w14:textId="77777777" w:rsidR="003850CF" w:rsidRDefault="003850CF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81A28"/>
    <w:multiLevelType w:val="hybridMultilevel"/>
    <w:tmpl w:val="308AAF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420316"/>
    <w:multiLevelType w:val="hybridMultilevel"/>
    <w:tmpl w:val="1EAE61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0E132F"/>
    <w:multiLevelType w:val="hybridMultilevel"/>
    <w:tmpl w:val="8FB0D03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04123C"/>
    <w:multiLevelType w:val="hybridMultilevel"/>
    <w:tmpl w:val="94B2F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BD3ECD"/>
    <w:multiLevelType w:val="hybridMultilevel"/>
    <w:tmpl w:val="E04A18E0"/>
    <w:lvl w:ilvl="0" w:tplc="CD220B7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3AB450F0"/>
    <w:multiLevelType w:val="hybridMultilevel"/>
    <w:tmpl w:val="8E18AF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605C79"/>
    <w:multiLevelType w:val="hybridMultilevel"/>
    <w:tmpl w:val="C47419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24EBC"/>
    <w:multiLevelType w:val="hybridMultilevel"/>
    <w:tmpl w:val="308AAF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BE4760"/>
    <w:multiLevelType w:val="hybridMultilevel"/>
    <w:tmpl w:val="53E4AF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F5524C"/>
    <w:multiLevelType w:val="hybridMultilevel"/>
    <w:tmpl w:val="CFA0B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5275BC"/>
    <w:multiLevelType w:val="hybridMultilevel"/>
    <w:tmpl w:val="60446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62A9C"/>
    <w:rsid w:val="0007208D"/>
    <w:rsid w:val="000A577D"/>
    <w:rsid w:val="000B3272"/>
    <w:rsid w:val="000C4F25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60D2B"/>
    <w:rsid w:val="003850CF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B5EF2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6117A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character" w:customStyle="1" w:styleId="ListParagraphChar">
    <w:name w:val="List Paragraph Char"/>
    <w:aliases w:val="Bullet List Char,FooterText Char,numbered Char,List Paragraph1 Char,Paragraphe de liste1 Char,lp1 Char,Numerowanie Char,L1 Char,Akapit z listą5 Char"/>
    <w:basedOn w:val="Domylnaczcionkaakapitu"/>
    <w:link w:val="Akapitzlist1"/>
    <w:uiPriority w:val="34"/>
    <w:locked/>
    <w:rsid w:val="009B5EF2"/>
  </w:style>
  <w:style w:type="paragraph" w:customStyle="1" w:styleId="Akapitzlist1">
    <w:name w:val="Akapit z listą1"/>
    <w:aliases w:val="Bullet List,FooterText,numbered,List Paragraph1,Paragraphe de liste1,lp1,Numerowanie,L1,Akapit z listą5"/>
    <w:basedOn w:val="Normalny"/>
    <w:link w:val="ListParagraphChar"/>
    <w:uiPriority w:val="34"/>
    <w:rsid w:val="009B5EF2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2E7D-5AD9-4ECF-8C8A-653AD9FF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1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5</cp:revision>
  <dcterms:created xsi:type="dcterms:W3CDTF">2025-11-27T06:54:00Z</dcterms:created>
  <dcterms:modified xsi:type="dcterms:W3CDTF">2025-12-02T05:47:00Z</dcterms:modified>
</cp:coreProperties>
</file>